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68B73">
      <w:pPr>
        <w:widowControl/>
        <w:overflowPunct w:val="0"/>
        <w:adjustRightInd w:val="0"/>
        <w:snapToGrid w:val="0"/>
        <w:spacing w:beforeLines="0" w:line="572" w:lineRule="exact"/>
        <w:rPr>
          <w:rFonts w:hint="default" w:ascii="Times New Roman" w:hAnsi="Times New Roman" w:eastAsia="方正黑体_GBK" w:cs="Times New Roman"/>
          <w:b/>
          <w:bCs w:val="0"/>
          <w:color w:val="000000"/>
          <w:kern w:val="0"/>
          <w:sz w:val="44"/>
          <w:szCs w:val="44"/>
          <w:highlight w:val="none"/>
          <w:lang w:bidi="ar"/>
        </w:rPr>
      </w:pPr>
      <w:r>
        <w:rPr>
          <w:rFonts w:hint="default" w:ascii="Times New Roman" w:hAnsi="Times New Roman" w:eastAsia="方正黑体_GBK" w:cs="Times New Roman"/>
          <w:b/>
          <w:bCs w:val="0"/>
          <w:highlight w:val="none"/>
        </w:rPr>
        <w:t>附件2</w:t>
      </w:r>
    </w:p>
    <w:p w14:paraId="1E6006C8">
      <w:pPr>
        <w:widowControl/>
        <w:overflowPunct w:val="0"/>
        <w:adjustRightInd w:val="0"/>
        <w:snapToGrid w:val="0"/>
        <w:spacing w:beforeLines="0" w:line="572" w:lineRule="exact"/>
        <w:ind w:firstLine="883" w:firstLineChars="200"/>
        <w:jc w:val="center"/>
        <w:rPr>
          <w:rFonts w:hint="default" w:ascii="Times New Roman" w:hAnsi="Times New Roman" w:eastAsia="方正小标宋_GBK" w:cs="Times New Roman"/>
          <w:b/>
          <w:bCs w:val="0"/>
          <w:color w:val="000000"/>
          <w:kern w:val="0"/>
          <w:sz w:val="44"/>
          <w:szCs w:val="44"/>
          <w:highlight w:val="none"/>
          <w:lang w:bidi="ar"/>
        </w:rPr>
      </w:pPr>
    </w:p>
    <w:p w14:paraId="29D9322C">
      <w:pPr>
        <w:widowControl/>
        <w:overflowPunct w:val="0"/>
        <w:adjustRightInd w:val="0"/>
        <w:snapToGrid w:val="0"/>
        <w:spacing w:beforeLines="0" w:line="572" w:lineRule="exact"/>
        <w:jc w:val="center"/>
        <w:rPr>
          <w:rFonts w:hint="default" w:ascii="Times New Roman" w:hAnsi="Times New Roman" w:eastAsia="方正小标宋_GBK" w:cs="Times New Roman"/>
          <w:b/>
          <w:bCs w:val="0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_GBK" w:cs="Times New Roman"/>
          <w:b/>
          <w:bCs w:val="0"/>
          <w:color w:val="000000"/>
          <w:kern w:val="0"/>
          <w:sz w:val="44"/>
          <w:szCs w:val="44"/>
          <w:highlight w:val="none"/>
          <w:lang w:bidi="ar"/>
        </w:rPr>
        <w:t>人才攻关联合体</w:t>
      </w:r>
      <w:r>
        <w:rPr>
          <w:rFonts w:hint="default" w:ascii="Times New Roman" w:hAnsi="Times New Roman" w:eastAsia="方正小标宋_GBK" w:cs="Times New Roman"/>
          <w:b/>
          <w:bCs w:val="0"/>
          <w:sz w:val="44"/>
          <w:szCs w:val="44"/>
          <w:highlight w:val="none"/>
        </w:rPr>
        <w:t>申报条件</w:t>
      </w:r>
    </w:p>
    <w:bookmarkEnd w:id="0"/>
    <w:p w14:paraId="72DC165A">
      <w:pPr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highlight w:val="none"/>
        </w:rPr>
      </w:pPr>
    </w:p>
    <w:p w14:paraId="206AC3E3">
      <w:pPr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eastAsia="方正黑体_GBK" w:cs="Times New Roman"/>
          <w:b/>
          <w:bCs w:val="0"/>
          <w:highlight w:val="none"/>
        </w:rPr>
      </w:pPr>
      <w:r>
        <w:rPr>
          <w:rFonts w:hint="default" w:ascii="Times New Roman" w:hAnsi="Times New Roman" w:eastAsia="方正黑体_GBK" w:cs="Times New Roman"/>
          <w:b/>
          <w:bCs w:val="0"/>
          <w:highlight w:val="none"/>
        </w:rPr>
        <w:t>一、申报对象</w:t>
      </w:r>
    </w:p>
    <w:p w14:paraId="554A92AA">
      <w:pPr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highlight w:val="none"/>
        </w:rPr>
      </w:pPr>
      <w:r>
        <w:rPr>
          <w:rFonts w:hint="default" w:ascii="Times New Roman" w:hAnsi="Times New Roman" w:cs="Times New Roman"/>
          <w:b/>
          <w:bCs w:val="0"/>
          <w:highlight w:val="none"/>
        </w:rPr>
        <w:t>人才攻关联合体分为产业领域和科技领域两个类别，其中产业领域人才攻关联合体面向我市</w:t>
      </w:r>
      <w:r>
        <w:rPr>
          <w:rFonts w:hint="default" w:ascii="Times New Roman" w:hAnsi="Times New Roman" w:cs="Times New Roman"/>
          <w:b/>
          <w:bCs w:val="0"/>
          <w:color w:val="000000"/>
          <w:sz w:val="31"/>
          <w:szCs w:val="31"/>
          <w:highlight w:val="none"/>
          <w:lang w:bidi="ar"/>
        </w:rPr>
        <w:t>国有企业、民营企业，由人才攻关联合体总指挥所在企业牵头申报；</w:t>
      </w:r>
      <w:r>
        <w:rPr>
          <w:rFonts w:hint="default" w:ascii="Times New Roman" w:hAnsi="Times New Roman" w:cs="Times New Roman"/>
          <w:b/>
          <w:bCs w:val="0"/>
          <w:highlight w:val="none"/>
        </w:rPr>
        <w:t>科技领域人才攻关联合体面向我市科研院所、医疗卫生机构和省级以上重点实验室、技术创新中心、新型研发机构等单位。</w:t>
      </w:r>
    </w:p>
    <w:p w14:paraId="7DF6ABCD">
      <w:pPr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eastAsia="方正黑体_GBK" w:cs="Times New Roman"/>
          <w:b/>
          <w:bCs w:val="0"/>
          <w:highlight w:val="none"/>
        </w:rPr>
      </w:pPr>
      <w:r>
        <w:rPr>
          <w:rFonts w:hint="default" w:ascii="Times New Roman" w:hAnsi="Times New Roman" w:eastAsia="方正黑体_GBK" w:cs="Times New Roman"/>
          <w:b/>
          <w:bCs w:val="0"/>
          <w:highlight w:val="none"/>
        </w:rPr>
        <w:t>二、申报条件</w:t>
      </w:r>
    </w:p>
    <w:p w14:paraId="552EAFCC">
      <w:pPr>
        <w:widowControl/>
        <w:overflowPunct w:val="0"/>
        <w:adjustRightInd w:val="0"/>
        <w:snapToGrid w:val="0"/>
        <w:spacing w:beforeLines="0" w:line="572" w:lineRule="exact"/>
        <w:ind w:firstLine="643" w:firstLineChars="200"/>
        <w:jc w:val="left"/>
        <w:rPr>
          <w:rFonts w:hint="default" w:ascii="Times New Roman" w:hAnsi="Times New Roman" w:eastAsia="方正仿宋_GBK" w:cs="Times New Roman"/>
          <w:b/>
          <w:bCs w:val="0"/>
          <w:color w:val="000000"/>
          <w:sz w:val="31"/>
          <w:szCs w:val="31"/>
          <w:highlight w:val="none"/>
          <w:lang w:val="en-US" w:eastAsia="zh-CN" w:bidi="ar"/>
        </w:rPr>
      </w:pPr>
      <w:r>
        <w:rPr>
          <w:rFonts w:hint="eastAsia" w:ascii="Times New Roman" w:hAnsi="Times New Roman" w:eastAsia="方正楷体_GBK" w:cs="Times New Roman"/>
          <w:b/>
          <w:bCs w:val="0"/>
          <w:highlight w:val="none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 w:val="0"/>
          <w:color w:val="000000"/>
          <w:highlight w:val="none"/>
          <w:lang w:bidi="ar"/>
        </w:rPr>
        <w:t>．</w:t>
      </w:r>
      <w:r>
        <w:rPr>
          <w:rFonts w:hint="default" w:ascii="Times New Roman" w:hAnsi="Times New Roman" w:eastAsia="方正楷体_GBK" w:cs="Times New Roman"/>
          <w:b/>
          <w:bCs w:val="0"/>
          <w:highlight w:val="none"/>
        </w:rPr>
        <w:t>单位基本条件。</w:t>
      </w:r>
      <w:r>
        <w:rPr>
          <w:rFonts w:hint="default" w:ascii="Times New Roman" w:hAnsi="Times New Roman" w:cs="Times New Roman"/>
          <w:b/>
          <w:bCs w:val="0"/>
          <w:highlight w:val="none"/>
        </w:rPr>
        <w:t>牵头单位应为在我市注册，具有独立法人资格的企事业单位；在业内具有较强行业影响力，能够整合产业链上下游企业、高校和科研院所等创新资源，组建关键核心技术联合攻关团队；</w:t>
      </w:r>
      <w:r>
        <w:rPr>
          <w:rFonts w:hint="default" w:ascii="Times New Roman" w:hAnsi="Times New Roman" w:cs="Times New Roman"/>
          <w:b/>
          <w:bCs w:val="0"/>
          <w:highlight w:val="none"/>
          <w:lang w:val="en-US" w:eastAsia="zh-CN"/>
        </w:rPr>
        <w:t>建有省级以上创新平台，</w:t>
      </w:r>
      <w:r>
        <w:rPr>
          <w:rFonts w:hint="default" w:ascii="Times New Roman" w:hAnsi="Times New Roman" w:cs="Times New Roman"/>
          <w:b/>
          <w:bCs w:val="0"/>
          <w:highlight w:val="none"/>
        </w:rPr>
        <w:t>具备牵头组建联合体的保障条件，攻关项目自筹经费总额不低于5000万元</w:t>
      </w:r>
      <w:r>
        <w:rPr>
          <w:rFonts w:hint="default" w:ascii="Times New Roman" w:hAnsi="Times New Roman" w:cs="Times New Roman"/>
          <w:b/>
          <w:bCs w:val="0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/>
          <w:bCs w:val="0"/>
          <w:highlight w:val="none"/>
          <w:lang w:val="en-US" w:eastAsia="zh-CN"/>
        </w:rPr>
        <w:t>不含市县两级</w:t>
      </w:r>
      <w:r>
        <w:rPr>
          <w:rFonts w:hint="eastAsia" w:ascii="Times New Roman" w:hAnsi="Times New Roman" w:cs="Times New Roman"/>
          <w:b/>
          <w:bCs w:val="0"/>
          <w:highlight w:val="none"/>
          <w:lang w:val="en-US" w:eastAsia="zh-CN"/>
        </w:rPr>
        <w:t>配套</w:t>
      </w:r>
      <w:r>
        <w:rPr>
          <w:rFonts w:hint="default" w:ascii="Times New Roman" w:hAnsi="Times New Roman" w:cs="Times New Roman"/>
          <w:b/>
          <w:bCs w:val="0"/>
          <w:highlight w:val="none"/>
          <w:lang w:val="en-US" w:eastAsia="zh-CN"/>
        </w:rPr>
        <w:t>支持资金</w:t>
      </w:r>
      <w:r>
        <w:rPr>
          <w:rFonts w:hint="default" w:ascii="Times New Roman" w:hAnsi="Times New Roman" w:cs="Times New Roman"/>
          <w:b/>
          <w:bCs w:val="0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b/>
          <w:bCs w:val="0"/>
          <w:highlight w:val="none"/>
        </w:rPr>
        <w:t>。参与单位应为产业链上下游优势企业、高校院所、行业组织等。参与企业应不少于3家，且不属于同一集团（系统）、不存在隶属关系。</w:t>
      </w:r>
      <w:r>
        <w:rPr>
          <w:rFonts w:hint="default" w:ascii="Times New Roman" w:hAnsi="Times New Roman" w:cs="Times New Roman"/>
          <w:b/>
          <w:bCs w:val="0"/>
          <w:color w:val="000000"/>
          <w:sz w:val="31"/>
          <w:szCs w:val="31"/>
          <w:highlight w:val="none"/>
          <w:lang w:bidi="ar"/>
        </w:rPr>
        <w:t>有一项或若干项有待突破、可促进形成国内领先、拥有自主知识产权、实现国产替代的共性技术，或有前瞻性、有望领先国际的前沿技术。</w:t>
      </w:r>
      <w:r>
        <w:rPr>
          <w:rFonts w:hint="default" w:ascii="Times New Roman" w:hAnsi="Times New Roman" w:cs="Times New Roman"/>
          <w:b/>
          <w:bCs w:val="0"/>
          <w:color w:val="000000"/>
          <w:sz w:val="31"/>
          <w:szCs w:val="31"/>
          <w:highlight w:val="none"/>
          <w:lang w:val="en-US" w:eastAsia="zh-CN" w:bidi="ar"/>
        </w:rPr>
        <w:t>攻关所产生的知识产权归属盐城市内主体，项目产业化落地需在市内开展。申报产业领域攻关联合体的，省内高校、科研院所不少于1家；参与单位中须包含攻关技术、攻关产品的市场应用验证方</w:t>
      </w:r>
      <w:r>
        <w:rPr>
          <w:rFonts w:hint="eastAsia" w:ascii="Times New Roman" w:hAnsi="Times New Roman" w:cs="Times New Roman"/>
          <w:b/>
          <w:bCs w:val="0"/>
          <w:color w:val="000000"/>
          <w:sz w:val="31"/>
          <w:szCs w:val="31"/>
          <w:highlight w:val="none"/>
          <w:lang w:val="en-US" w:eastAsia="zh-CN" w:bidi="ar"/>
        </w:rPr>
        <w:t>。</w:t>
      </w:r>
    </w:p>
    <w:p w14:paraId="41CE5057">
      <w:pPr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highlight w:val="none"/>
        </w:rPr>
      </w:pPr>
      <w:r>
        <w:rPr>
          <w:rFonts w:hint="eastAsia" w:ascii="Times New Roman" w:hAnsi="Times New Roman" w:cs="Times New Roman"/>
          <w:b/>
          <w:bCs w:val="0"/>
          <w:color w:val="000000"/>
          <w:highlight w:val="none"/>
          <w:lang w:val="en-US" w:eastAsia="zh-CN" w:bidi="ar"/>
        </w:rPr>
        <w:t>2</w:t>
      </w:r>
      <w:r>
        <w:rPr>
          <w:rFonts w:hint="default" w:ascii="Times New Roman" w:hAnsi="Times New Roman" w:cs="Times New Roman"/>
          <w:b/>
          <w:bCs w:val="0"/>
          <w:color w:val="000000"/>
          <w:highlight w:val="none"/>
          <w:lang w:bidi="ar"/>
        </w:rPr>
        <w:t>．</w:t>
      </w:r>
      <w:r>
        <w:rPr>
          <w:rFonts w:hint="default" w:ascii="Times New Roman" w:hAnsi="Times New Roman" w:eastAsia="方正楷体_GBK" w:cs="Times New Roman"/>
          <w:b/>
          <w:bCs w:val="0"/>
          <w:highlight w:val="none"/>
        </w:rPr>
        <w:t>人员基本条件。</w:t>
      </w:r>
      <w:r>
        <w:rPr>
          <w:rFonts w:hint="default" w:ascii="Times New Roman" w:hAnsi="Times New Roman" w:cs="Times New Roman"/>
          <w:b/>
          <w:bCs w:val="0"/>
          <w:highlight w:val="none"/>
        </w:rPr>
        <w:t>实行</w:t>
      </w:r>
      <w:r>
        <w:rPr>
          <w:rFonts w:hint="eastAsia" w:ascii="Times New Roman" w:hAnsi="Times New Roman" w:cs="Times New Roman"/>
          <w:b/>
          <w:bCs w:val="0"/>
          <w:highlight w:val="none"/>
          <w:lang w:eastAsia="zh-CN"/>
        </w:rPr>
        <w:t>“</w:t>
      </w:r>
      <w:r>
        <w:rPr>
          <w:rFonts w:hint="default" w:ascii="Times New Roman" w:hAnsi="Times New Roman" w:cs="Times New Roman"/>
          <w:b/>
          <w:bCs w:val="0"/>
          <w:highlight w:val="none"/>
        </w:rPr>
        <w:t>总指挥+技术总师</w:t>
      </w:r>
      <w:r>
        <w:rPr>
          <w:rFonts w:hint="eastAsia" w:ascii="Times New Roman" w:hAnsi="Times New Roman" w:cs="Times New Roman"/>
          <w:b/>
          <w:bCs w:val="0"/>
          <w:highlight w:val="none"/>
          <w:lang w:eastAsia="zh-CN"/>
        </w:rPr>
        <w:t>”</w:t>
      </w:r>
      <w:r>
        <w:rPr>
          <w:rFonts w:hint="default" w:ascii="Times New Roman" w:hAnsi="Times New Roman" w:cs="Times New Roman"/>
          <w:b/>
          <w:bCs w:val="0"/>
          <w:highlight w:val="none"/>
        </w:rPr>
        <w:t>制度。总指挥由牵头单位负责人担任，</w:t>
      </w:r>
      <w:r>
        <w:rPr>
          <w:rFonts w:hint="default" w:ascii="Times New Roman" w:hAnsi="Times New Roman" w:cs="Times New Roman"/>
          <w:b/>
          <w:bCs w:val="0"/>
          <w:color w:val="000000"/>
          <w:sz w:val="31"/>
          <w:szCs w:val="31"/>
          <w:highlight w:val="none"/>
          <w:lang w:bidi="ar"/>
        </w:rPr>
        <w:t>统筹调度人财物，能够进行方向性全局性前瞻性思考、具有指挥大兵团开展科研攻关组织领导能力</w:t>
      </w:r>
      <w:r>
        <w:rPr>
          <w:rFonts w:hint="default" w:ascii="Times New Roman" w:hAnsi="Times New Roman" w:cs="Times New Roman"/>
          <w:b/>
          <w:bCs w:val="0"/>
          <w:highlight w:val="none"/>
        </w:rPr>
        <w:t>。</w:t>
      </w:r>
      <w:r>
        <w:rPr>
          <w:rFonts w:hint="default" w:ascii="Times New Roman" w:hAnsi="Times New Roman" w:cs="Times New Roman"/>
          <w:b/>
          <w:bCs w:val="0"/>
          <w:color w:val="000000"/>
          <w:sz w:val="31"/>
          <w:szCs w:val="31"/>
          <w:highlight w:val="none"/>
          <w:lang w:bidi="ar"/>
        </w:rPr>
        <w:t>技术总师由产业（行业）科技领军人才担任</w:t>
      </w:r>
      <w:r>
        <w:rPr>
          <w:rFonts w:hint="default" w:ascii="Times New Roman" w:hAnsi="Times New Roman" w:cs="Times New Roman"/>
          <w:b/>
          <w:bCs w:val="0"/>
          <w:highlight w:val="none"/>
        </w:rPr>
        <w:t>，</w:t>
      </w:r>
      <w:r>
        <w:rPr>
          <w:rFonts w:hint="default" w:ascii="Times New Roman" w:hAnsi="Times New Roman" w:cs="Times New Roman"/>
          <w:b/>
          <w:bCs w:val="0"/>
          <w:color w:val="000000"/>
          <w:sz w:val="31"/>
          <w:szCs w:val="31"/>
          <w:highlight w:val="none"/>
          <w:lang w:bidi="ar"/>
        </w:rPr>
        <w:t>赋予技术路线决定权，组织带领人才团队协同攻关，</w:t>
      </w:r>
      <w:r>
        <w:rPr>
          <w:rFonts w:hint="default" w:ascii="Times New Roman" w:hAnsi="Times New Roman" w:cs="Times New Roman"/>
          <w:b/>
          <w:bCs w:val="0"/>
          <w:highlight w:val="none"/>
        </w:rPr>
        <w:t>应拥有重大发明专利或掌握关键技术，研究成果达到国内先进水平，或在重大科技成果转化、推广应用及高新技术产业化等方面作出重要贡献，取得显著的经济或社会效益。联合体核心成员不少于10人，且须有国家级人才计划入选者，其中35周岁以下青年科技人才要有一定比例。总指挥和技术总师可来自不同单位，技术总师人事关系可不在市内。任务攻关期间，总指挥和技术总师原则上保持岗位职责不变动，骨干成员调整应通过相关部门或地方向市主管部门、市委人才办报备。</w:t>
      </w:r>
    </w:p>
    <w:p w14:paraId="21F783FC">
      <w:pPr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highlight w:val="none"/>
        </w:rPr>
      </w:pPr>
      <w:r>
        <w:rPr>
          <w:rFonts w:hint="eastAsia" w:ascii="Times New Roman" w:hAnsi="Times New Roman" w:cs="Times New Roman"/>
          <w:b/>
          <w:bCs w:val="0"/>
          <w:color w:val="000000"/>
          <w:highlight w:val="none"/>
          <w:lang w:val="en-US" w:eastAsia="zh-CN" w:bidi="ar"/>
        </w:rPr>
        <w:t>3</w:t>
      </w:r>
      <w:r>
        <w:rPr>
          <w:rFonts w:hint="default" w:ascii="Times New Roman" w:hAnsi="Times New Roman" w:cs="Times New Roman"/>
          <w:b/>
          <w:bCs w:val="0"/>
          <w:color w:val="000000"/>
          <w:highlight w:val="none"/>
          <w:lang w:bidi="ar"/>
        </w:rPr>
        <w:t>．</w:t>
      </w:r>
      <w:r>
        <w:rPr>
          <w:rFonts w:hint="default" w:ascii="Times New Roman" w:hAnsi="Times New Roman" w:eastAsia="方正楷体_GBK" w:cs="Times New Roman"/>
          <w:b/>
          <w:bCs w:val="0"/>
          <w:highlight w:val="none"/>
        </w:rPr>
        <w:t>明确技术攻关目标。</w:t>
      </w:r>
      <w:r>
        <w:rPr>
          <w:rFonts w:hint="default" w:ascii="Times New Roman" w:hAnsi="Times New Roman" w:cs="Times New Roman"/>
          <w:b/>
          <w:bCs w:val="0"/>
          <w:highlight w:val="none"/>
        </w:rPr>
        <w:t>联合体需凝练拟解决的产业关键核心技术问题，明确攻关任务和创新目标，细化技术突破、新产品新设备新工艺、行业标准等指标，具有明确的成果呈现形式，能够形成技术含量高、创新性强、产业带动性好的自主知识产权，目标产品明确，附加值高，预期市场容量大，经济效益和社会效益显著。</w:t>
      </w:r>
    </w:p>
    <w:p w14:paraId="072C3FF2">
      <w:pPr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cs="Times New Roman"/>
          <w:b/>
          <w:bCs w:val="0"/>
          <w:highlight w:val="none"/>
        </w:rPr>
      </w:pPr>
      <w:r>
        <w:rPr>
          <w:rFonts w:hint="eastAsia" w:ascii="Times New Roman" w:hAnsi="Times New Roman" w:cs="Times New Roman"/>
          <w:b/>
          <w:bCs w:val="0"/>
          <w:color w:val="000000"/>
          <w:highlight w:val="none"/>
          <w:lang w:val="en-US" w:eastAsia="zh-CN" w:bidi="ar"/>
        </w:rPr>
        <w:t>4</w:t>
      </w:r>
      <w:r>
        <w:rPr>
          <w:rFonts w:hint="default" w:ascii="Times New Roman" w:hAnsi="Times New Roman" w:cs="Times New Roman"/>
          <w:b/>
          <w:bCs w:val="0"/>
          <w:color w:val="000000"/>
          <w:highlight w:val="none"/>
          <w:lang w:bidi="ar"/>
        </w:rPr>
        <w:t>．</w:t>
      </w:r>
      <w:r>
        <w:rPr>
          <w:rFonts w:hint="default" w:ascii="Times New Roman" w:hAnsi="Times New Roman" w:eastAsia="方正楷体_GBK" w:cs="Times New Roman"/>
          <w:b/>
          <w:bCs w:val="0"/>
          <w:highlight w:val="none"/>
        </w:rPr>
        <w:t>建立联合攻关机制。</w:t>
      </w:r>
      <w:r>
        <w:rPr>
          <w:rFonts w:hint="default" w:ascii="Times New Roman" w:hAnsi="Times New Roman" w:cs="Times New Roman"/>
          <w:b/>
          <w:bCs w:val="0"/>
          <w:highlight w:val="none"/>
        </w:rPr>
        <w:t>具有较好的联合攻关基础，联合体各参与单位应共同签订组建协议，明确具体任务分工、单位权利职责、组织架构、科技成果和知识产权归属、收益分配等，建立健全定位清晰、优势互补的协同创新与决策执行机制，逐步形成分工明确、休戚与共的利益共同体。鼓励跨区域组建，在全球范围集聚配置各类资源要素。</w:t>
      </w:r>
    </w:p>
    <w:p w14:paraId="6A78F6B3">
      <w:pPr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eastAsia="方正黑体_GBK" w:cs="Times New Roman"/>
          <w:b/>
          <w:bCs w:val="0"/>
          <w:highlight w:val="none"/>
        </w:rPr>
      </w:pPr>
      <w:r>
        <w:rPr>
          <w:rFonts w:hint="default" w:ascii="Times New Roman" w:hAnsi="Times New Roman" w:eastAsia="方正黑体_GBK" w:cs="Times New Roman"/>
          <w:b/>
          <w:bCs w:val="0"/>
          <w:highlight w:val="none"/>
        </w:rPr>
        <w:t>三、相关要求</w:t>
      </w:r>
    </w:p>
    <w:p w14:paraId="23F269C6">
      <w:pPr>
        <w:overflowPunct w:val="0"/>
        <w:adjustRightInd w:val="0"/>
        <w:snapToGrid w:val="0"/>
        <w:spacing w:beforeLines="0" w:line="572" w:lineRule="exact"/>
        <w:ind w:firstLine="643" w:firstLineChars="200"/>
        <w:rPr>
          <w:rFonts w:hint="default" w:ascii="Times New Roman" w:hAnsi="Times New Roman" w:eastAsia="方正黑体_GBK" w:cs="Times New Roman"/>
          <w:b/>
          <w:bCs w:val="0"/>
          <w:highlight w:val="none"/>
        </w:rPr>
      </w:pPr>
      <w:r>
        <w:rPr>
          <w:rFonts w:hint="default" w:ascii="Times New Roman" w:hAnsi="Times New Roman" w:cs="Times New Roman"/>
          <w:b/>
          <w:bCs w:val="0"/>
          <w:highlight w:val="none"/>
        </w:rPr>
        <w:t>禁止重复申报，同一单位不得将相同或相近的研发内容同时申报不同联合体。同一人才不得作为核心成员同时申报两个及以上联合体。本次申报通过工信条线和科技条线开展，仅能择其一申报。落实科研诚信承诺制，总指挥、技术总师、申报牵头单位和推荐单位须签署科研诚信承诺书，大力弘扬科学家精神，严禁剽窃他人科研成果、侵犯他人知识产权、伪造材料骗取申报资格等失信行为。因科研失信和社会信用失信正在接受处罚的单位和个人，不得申报。相关责任单位存在弄虚作假、冒名顶替、侵犯他人知识产权等行为的，经查实依规严肃处理。</w:t>
      </w:r>
    </w:p>
    <w:p w14:paraId="664ADCD8"/>
    <w:sectPr>
      <w:pgSz w:w="11906" w:h="16838"/>
      <w:pgMar w:top="1701" w:right="1701" w:bottom="1417" w:left="1701" w:header="0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650C3F3-90BB-4D63-BBD8-CDCF5F38D118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AA9E3E0C-6D6B-4794-89A2-B40B2BA6532E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7F247F3E-8936-4E06-B590-A211AA7E43F6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94F85228-BE97-4417-988A-A5F0C73390D4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C621AB7F-B024-4FBB-B518-8F9B5375C6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BF22E8"/>
    <w:rsid w:val="7E44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2026-07-15T06:43:00Z</dcterms:created>
  <dc:creator>31449</dc:creator>
  <cp:lastModifiedBy>邓威</cp:lastModifiedBy>
  <dcterms:modified xsi:type="dcterms:W3CDTF">2026-07-30T01:14:57Z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200A377EF9BE4A94BB00304AEC1D98A2_12</vt:lpwstr>
  </property>
  <property fmtid="{D5CDD505-2E9C-101B-9397-08002B2CF9AE}" pid="4" name="KSOTemplateDocerSaveRecord">
    <vt:lpwstr>eyJoZGlkIjoiMGE5YjQ5ODVkZDc4YWNiZTVjM2Y1YjRhYWMzYjlhMWIiLCJ1c2VySWQiOiIxMDU3NzY2NTY3In0=</vt:lpwstr>
  </property>
</Properties>
</file>