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6673F">
      <w:pPr>
        <w:pStyle w:val="2"/>
        <w:overflowPunct w:val="0"/>
        <w:adjustRightInd w:val="0"/>
        <w:snapToGrid w:val="0"/>
        <w:spacing w:beforeLines="0" w:line="572" w:lineRule="exact"/>
        <w:textAlignment w:val="baseline"/>
        <w:rPr>
          <w:rFonts w:hint="default" w:ascii="Times New Roman" w:hAnsi="Times New Roman" w:eastAsia="方正黑体_GBK" w:cs="Times New Roman"/>
          <w:b/>
          <w:bCs w:val="0"/>
          <w:highlight w:val="none"/>
          <w:lang w:eastAsia="zh-CN"/>
        </w:rPr>
      </w:pPr>
      <w:r>
        <w:rPr>
          <w:rFonts w:hint="default" w:ascii="Times New Roman" w:hAnsi="Times New Roman" w:eastAsia="方正黑体_GBK" w:cs="Times New Roman"/>
          <w:b/>
          <w:bCs w:val="0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b/>
          <w:bCs w:val="0"/>
          <w:highlight w:val="none"/>
          <w:lang w:eastAsia="zh-CN"/>
        </w:rPr>
        <w:t>6</w:t>
      </w:r>
    </w:p>
    <w:p w14:paraId="749554D9">
      <w:pPr>
        <w:pStyle w:val="2"/>
        <w:overflowPunct w:val="0"/>
        <w:adjustRightInd w:val="0"/>
        <w:snapToGrid w:val="0"/>
        <w:spacing w:beforeLines="0" w:line="572" w:lineRule="exact"/>
        <w:jc w:val="center"/>
        <w:textAlignment w:val="baseline"/>
        <w:outlineLvl w:val="0"/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highlight w:val="none"/>
          <w:lang w:eastAsia="zh-CN"/>
        </w:rPr>
      </w:pPr>
    </w:p>
    <w:p w14:paraId="06CA1141">
      <w:pPr>
        <w:overflowPunct w:val="0"/>
        <w:adjustRightInd w:val="0"/>
        <w:snapToGrid w:val="0"/>
        <w:spacing w:beforeLines="0" w:line="572" w:lineRule="exact"/>
        <w:jc w:val="center"/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highlight w:val="none"/>
        </w:rPr>
        <w:t>创新类领军团队申报条件</w:t>
      </w:r>
    </w:p>
    <w:p w14:paraId="4C5FC332">
      <w:pPr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eastAsia="方正小标宋_GBK" w:cs="Times New Roman"/>
          <w:b/>
          <w:bCs w:val="0"/>
          <w:kern w:val="32"/>
          <w:highlight w:val="none"/>
        </w:rPr>
      </w:pPr>
    </w:p>
    <w:p w14:paraId="5D0D7A16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eastAsia="zh-CN"/>
        </w:rPr>
        <w:t>1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sz w:val="32"/>
          <w:szCs w:val="32"/>
          <w:highlight w:val="none"/>
          <w:lang w:eastAsia="zh-CN"/>
        </w:rPr>
        <w:t>﹒</w:t>
      </w:r>
      <w:r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eastAsia="zh-CN"/>
        </w:rPr>
        <w:t>团队由1名领军人才、2名以上核心成员组成。团队成员均于202</w:t>
      </w:r>
      <w:r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eastAsia="zh-CN"/>
        </w:rPr>
        <w:t>年1月1日至202</w:t>
      </w:r>
      <w:r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eastAsia="zh-CN"/>
        </w:rPr>
        <w:t>年8月31日期间引进到我市，已与申报单位签订正式聘用合同；一般应具有博士学位或正高级职称；有5年以上（或取得博士学位后2年）在国内外知名企业、高校、科研单位及相关机构从事研发或管理等工作经历，并取得突出业绩；团队成员间专业结构合理，具有关联性和互补性。入选后能在引进单位连续工作不少于3年。团队原则上至少配有1名40周岁以下（198</w:t>
      </w:r>
      <w:r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eastAsia="zh-CN"/>
        </w:rPr>
        <w:t>年1月1日以后出生）的青年人才。</w:t>
      </w:r>
    </w:p>
    <w:p w14:paraId="7909BBE2">
      <w:pPr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kern w:val="32"/>
          <w:highlight w:val="none"/>
        </w:rPr>
      </w:pP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2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</w:rPr>
        <w:t>﹒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团队领军人才应遵守国家法律法规，具有良好的学术道德、职业操守和个人品行，自觉践行科学家精神，长期在科研一线工作，在业内具有较高知名度、美誉度，能够围绕我市科技创新前瞻领域，开展关键核心技术攻关和重大科技创新成果转化。具备以下条件之一：①中国科学院院士、中国工程院院士；②国际重要科技奖项获得者；③主要科技发达国家科学院、工程院院士（不含通讯院士、外籍院士）或其他海外杰出人才；④获得省部级科技进步奖（或相当层次奖励）一等奖或国家科技进步奖（或相当层次奖励）二等奖以上奖励的主要完成人；⑤国家科技重大专项、国家重点研发计划、国家自然科学基金委创新研究群体和重大研究计划项目、省产业类重大研发项目或科技类重大项目、国家或省战略性新兴产业重点专项等主要承担人（列前3名）；⑥省级以上人才工程入选者；⑦省级以上重点实验室骨干（列前3名）；⑧省级以上工程研发中心、工程技术中心、企业技术中心骨干（列前3名）；⑨中国服务外包杰出人物奖、省服务外包突出贡献奖获得者。</w:t>
      </w:r>
    </w:p>
    <w:p w14:paraId="4F1F3765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eastAsia="zh-CN"/>
        </w:rPr>
        <w:t>3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sz w:val="32"/>
          <w:szCs w:val="32"/>
          <w:highlight w:val="none"/>
          <w:lang w:eastAsia="zh-CN"/>
        </w:rPr>
        <w:t>﹒</w:t>
      </w:r>
      <w:r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eastAsia="zh-CN"/>
        </w:rPr>
        <w:t>团队从到盐城工作次月起，申报单位给予个人薪酬月均不少于1万元，事业单位可放宽至8000元，以申报单位代扣代缴个人所得税完税证明和薪酬发放证明（全职人才提供银行流水，非全职人才提供工资发放单或银行流水）为准，且入选后须连续提供不少于3年的上述证明材料；或个人在申报企业的实收资本中货币出资100万元以上。入选后至考核验收结束，每名成员薪酬不得降低或实际货币出资金额不得减少。</w:t>
      </w:r>
    </w:p>
    <w:p w14:paraId="38F0C892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eastAsia="zh-CN"/>
        </w:rPr>
        <w:t>4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sz w:val="32"/>
          <w:szCs w:val="32"/>
          <w:highlight w:val="none"/>
          <w:lang w:eastAsia="zh-CN"/>
        </w:rPr>
        <w:t>﹒</w:t>
      </w:r>
      <w:r>
        <w:rPr>
          <w:rFonts w:hint="default" w:ascii="Times New Roman" w:hAnsi="Times New Roman" w:cs="Times New Roman"/>
          <w:b/>
          <w:bCs w:val="0"/>
          <w:kern w:val="32"/>
          <w:sz w:val="32"/>
          <w:szCs w:val="32"/>
          <w:highlight w:val="none"/>
          <w:lang w:eastAsia="zh-CN"/>
        </w:rPr>
        <w:t>申报单位为企业的，应已完成工商、税务和社保等注册登记相关手续，并有3名以上非股东（全职员工股权激励的除外）的员工缴纳社保费。其中，农业企业须是国家级或省级农业产业化重点龙头企业。</w:t>
      </w:r>
    </w:p>
    <w:p w14:paraId="682926A1">
      <w:bookmarkStart w:id="0" w:name="_GoBack"/>
      <w:bookmarkEnd w:id="0"/>
    </w:p>
    <w:sectPr>
      <w:pgSz w:w="11906" w:h="16838"/>
      <w:pgMar w:top="1701" w:right="1701" w:bottom="1417" w:left="1701" w:header="0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CBE7604-26B0-4D4A-B9CD-0CA09E81FD50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5C65532D-A439-4629-A576-CC56A7F7BEDC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31EBEA84-39CE-4CC0-8268-A066F810C9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625639"/>
    <w:rsid w:val="39BF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semiHidden/>
    <w:qFormat/>
    <w:uiPriority w:val="0"/>
    <w:pPr>
      <w:widowControl w:val="0"/>
      <w:jc w:val="both"/>
    </w:pPr>
    <w:rPr>
      <w:rFonts w:ascii="方正仿宋_GBK" w:hAnsi="方正仿宋_GBK" w:eastAsia="方正仿宋_GBK" w:cs="方正仿宋_GBK"/>
      <w:kern w:val="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2026-07-15T06:43:00Z</dcterms:created>
  <dc:creator>31449</dc:creator>
  <cp:lastModifiedBy>邓威</cp:lastModifiedBy>
  <dcterms:modified xsi:type="dcterms:W3CDTF">2026-07-30T01:17:03Z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200A377EF9BE4A94BB00304AEC1D98A2_12</vt:lpwstr>
  </property>
  <property fmtid="{D5CDD505-2E9C-101B-9397-08002B2CF9AE}" pid="4" name="KSOTemplateDocerSaveRecord">
    <vt:lpwstr>eyJoZGlkIjoiMGE5YjQ5ODVkZDc4YWNiZTVjM2Y1YjRhYWMzYjlhMWIiLCJ1c2VySWQiOiIxMDU3NzY2NTY3In0=</vt:lpwstr>
  </property>
</Properties>
</file>